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77777777" w:rsidR="00A8548D" w:rsidRDefault="003E0C23" w:rsidP="003E0C23">
      <w:pPr>
        <w:spacing w:after="120" w:line="240" w:lineRule="auto"/>
        <w:ind w:right="28"/>
        <w:jc w:val="center"/>
        <w:rPr>
          <w:rFonts w:ascii="Verdana" w:eastAsia="Times New Roman" w:hAnsi="Verdana" w:cs="Arial"/>
          <w:b/>
          <w:bCs/>
          <w:color w:val="002060"/>
          <w:sz w:val="28"/>
          <w:szCs w:val="28"/>
          <w:lang w:val="en-GB"/>
        </w:rPr>
      </w:pPr>
      <w:r w:rsidRPr="00A04811">
        <w:rPr>
          <w:noProof/>
          <w:lang w:val="en-GB" w:eastAsia="en-GB"/>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p>
    <w:p w14:paraId="440AFB76" w14:textId="79E31803"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17C09F1C"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5864AA">
        <w:trPr>
          <w:trHeight w:val="35"/>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w:t>
            </w:r>
            <w:proofErr w:type="gramStart"/>
            <w:r>
              <w:rPr>
                <w:rFonts w:cs="Calibri"/>
                <w:b/>
                <w:sz w:val="16"/>
                <w:szCs w:val="16"/>
                <w:lang w:val="en-GB"/>
              </w:rPr>
              <w:t>obligatory</w:t>
            </w:r>
            <w:proofErr w:type="gramEnd"/>
            <w:r>
              <w:rPr>
                <w:rFonts w:cs="Calibri"/>
                <w:b/>
                <w:sz w:val="16"/>
                <w:szCs w:val="16"/>
                <w:lang w:val="en-GB"/>
              </w:rPr>
              <w:t xml:space="preserve">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w:t>
            </w:r>
            <w:proofErr w:type="gramStart"/>
            <w:r>
              <w:rPr>
                <w:rFonts w:cs="Calibri"/>
                <w:b/>
                <w:sz w:val="16"/>
                <w:szCs w:val="16"/>
                <w:lang w:val="en-GB"/>
              </w:rPr>
              <w:t>obligatory</w:t>
            </w:r>
            <w:proofErr w:type="gramEnd"/>
            <w:r>
              <w:rPr>
                <w:rFonts w:cs="Calibri"/>
                <w:b/>
                <w:sz w:val="16"/>
                <w:szCs w:val="16"/>
                <w:lang w:val="en-GB"/>
              </w:rPr>
              <w:t xml:space="preserve">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3C1C9728"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2FDFBA57" w14:textId="34FC6928"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525AFD4B" w14:textId="07B41751"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22EF3593" w14:textId="4DE71641"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354D8AE3" w14:textId="77777777"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AF2E1A9" w14:textId="77777777" w:rsidR="005864AA"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Study Programme at Receiving Institution and recognition at the Sending Institution</w:t>
      </w:r>
    </w:p>
    <w:p w14:paraId="20C83817" w14:textId="77777777" w:rsidR="005864AA" w:rsidRDefault="005864AA" w:rsidP="005864A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Pr>
          <w:rFonts w:ascii="Verdana" w:eastAsia="Times New Roman" w:hAnsi="Verdana" w:cs="Arial"/>
          <w:b/>
          <w:i/>
          <w:color w:val="002060"/>
          <w:sz w:val="24"/>
          <w:szCs w:val="36"/>
          <w:lang w:val="en-GB"/>
        </w:rPr>
        <w:t>S</w:t>
      </w:r>
      <w:r w:rsidRPr="00E176C0">
        <w:rPr>
          <w:rFonts w:ascii="Verdana" w:eastAsia="Times New Roman" w:hAnsi="Verdana" w:cs="Arial"/>
          <w:b/>
          <w:i/>
          <w:color w:val="002060"/>
          <w:sz w:val="24"/>
          <w:szCs w:val="36"/>
          <w:lang w:val="en-GB"/>
        </w:rPr>
        <w:t xml:space="preserve">hort-term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leGrid"/>
        <w:tblpPr w:leftFromText="180" w:rightFromText="180" w:vertAnchor="text" w:horzAnchor="margin" w:tblpY="244"/>
        <w:tblW w:w="108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22"/>
        <w:gridCol w:w="1318"/>
        <w:gridCol w:w="2940"/>
        <w:gridCol w:w="2976"/>
        <w:gridCol w:w="1238"/>
        <w:gridCol w:w="1381"/>
      </w:tblGrid>
      <w:tr w:rsidR="005864AA" w14:paraId="2A7DDF61" w14:textId="77777777" w:rsidTr="005864AA">
        <w:trPr>
          <w:trHeight w:hRule="exact" w:val="942"/>
        </w:trPr>
        <w:tc>
          <w:tcPr>
            <w:tcW w:w="1022" w:type="dxa"/>
            <w:vMerge w:val="restart"/>
            <w:shd w:val="clear" w:color="auto" w:fill="D5DCE4" w:themeFill="text2" w:themeFillTint="33"/>
          </w:tcPr>
          <w:p w14:paraId="2018AEA1" w14:textId="77777777" w:rsidR="005864AA" w:rsidRDefault="005864AA" w:rsidP="005864AA">
            <w:pPr>
              <w:spacing w:before="240" w:after="0" w:line="480" w:lineRule="auto"/>
              <w:ind w:right="-993"/>
              <w:rPr>
                <w:rFonts w:cs="Calibri"/>
                <w:b/>
                <w:sz w:val="16"/>
                <w:szCs w:val="16"/>
                <w:lang w:val="en-GB"/>
              </w:rPr>
            </w:pPr>
          </w:p>
        </w:tc>
        <w:tc>
          <w:tcPr>
            <w:tcW w:w="1318" w:type="dxa"/>
            <w:shd w:val="clear" w:color="auto" w:fill="D0CECE" w:themeFill="background2" w:themeFillShade="E6"/>
          </w:tcPr>
          <w:p w14:paraId="6DF02A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Component </w:t>
            </w:r>
          </w:p>
          <w:p w14:paraId="3197C2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code (if any)</w:t>
            </w:r>
          </w:p>
        </w:tc>
        <w:tc>
          <w:tcPr>
            <w:tcW w:w="2940" w:type="dxa"/>
            <w:shd w:val="clear" w:color="auto" w:fill="D0CECE" w:themeFill="background2" w:themeFillShade="E6"/>
          </w:tcPr>
          <w:p w14:paraId="2609D58B" w14:textId="77777777" w:rsidR="005864AA" w:rsidRDefault="005864AA" w:rsidP="005864AA">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2976" w:type="dxa"/>
            <w:shd w:val="clear" w:color="auto" w:fill="D0CECE" w:themeFill="background2" w:themeFillShade="E6"/>
          </w:tcPr>
          <w:p w14:paraId="6251ED17"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7C018303"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w:t>
            </w:r>
            <w:proofErr w:type="gramStart"/>
            <w:r>
              <w:rPr>
                <w:rFonts w:cs="Calibri"/>
                <w:b/>
                <w:sz w:val="16"/>
                <w:szCs w:val="16"/>
                <w:lang w:val="en-GB"/>
              </w:rPr>
              <w:t>optional</w:t>
            </w:r>
            <w:proofErr w:type="gramEnd"/>
            <w:r>
              <w:rPr>
                <w:rFonts w:cs="Calibri"/>
                <w:b/>
                <w:sz w:val="16"/>
                <w:szCs w:val="16"/>
                <w:lang w:val="en-GB"/>
              </w:rPr>
              <w:t xml:space="preserve"> field):</w:t>
            </w:r>
          </w:p>
          <w:p w14:paraId="610C0D5D" w14:textId="77777777" w:rsidR="005864AA" w:rsidRDefault="005864AA" w:rsidP="005864AA">
            <w:pPr>
              <w:spacing w:after="0" w:line="240" w:lineRule="auto"/>
              <w:rPr>
                <w:rFonts w:ascii="Calibri" w:eastAsia="Times New Roman" w:hAnsi="Calibri" w:cs="Times New Roman"/>
                <w:color w:val="000000"/>
                <w:sz w:val="16"/>
                <w:szCs w:val="16"/>
                <w:lang w:val="en-GB" w:eastAsia="en-GB"/>
              </w:rPr>
            </w:pPr>
          </w:p>
        </w:tc>
        <w:tc>
          <w:tcPr>
            <w:tcW w:w="1238" w:type="dxa"/>
            <w:shd w:val="clear" w:color="auto" w:fill="D0CECE" w:themeFill="background2" w:themeFillShade="E6"/>
          </w:tcPr>
          <w:p w14:paraId="26698B9E" w14:textId="77777777" w:rsidR="005864AA" w:rsidRPr="008B0BDB" w:rsidRDefault="005864AA" w:rsidP="005864AA">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381" w:type="dxa"/>
            <w:shd w:val="clear" w:color="auto" w:fill="D0CECE" w:themeFill="background2" w:themeFillShade="E6"/>
          </w:tcPr>
          <w:p w14:paraId="3A1DF647" w14:textId="77777777" w:rsidR="005864AA" w:rsidRDefault="005864AA" w:rsidP="005864A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5864AA" w14:paraId="1919F5DA" w14:textId="77777777" w:rsidTr="005864AA">
        <w:trPr>
          <w:trHeight w:hRule="exact" w:val="385"/>
        </w:trPr>
        <w:tc>
          <w:tcPr>
            <w:tcW w:w="1022" w:type="dxa"/>
            <w:vMerge/>
            <w:shd w:val="clear" w:color="auto" w:fill="D5DCE4" w:themeFill="text2" w:themeFillTint="33"/>
          </w:tcPr>
          <w:p w14:paraId="39EF610F" w14:textId="77777777" w:rsidR="005864AA" w:rsidRDefault="005864AA" w:rsidP="005864AA">
            <w:pPr>
              <w:ind w:right="-993"/>
              <w:rPr>
                <w:rFonts w:cs="Calibri"/>
                <w:b/>
                <w:sz w:val="16"/>
                <w:szCs w:val="16"/>
                <w:lang w:val="en-GB"/>
              </w:rPr>
            </w:pPr>
          </w:p>
        </w:tc>
        <w:tc>
          <w:tcPr>
            <w:tcW w:w="1318" w:type="dxa"/>
          </w:tcPr>
          <w:p w14:paraId="2F6B479B" w14:textId="77777777" w:rsidR="005864AA" w:rsidRDefault="005864AA" w:rsidP="005864AA">
            <w:pPr>
              <w:ind w:right="-993"/>
              <w:rPr>
                <w:rFonts w:cs="Calibri"/>
                <w:b/>
                <w:sz w:val="16"/>
                <w:szCs w:val="16"/>
                <w:lang w:val="en-GB"/>
              </w:rPr>
            </w:pPr>
          </w:p>
        </w:tc>
        <w:tc>
          <w:tcPr>
            <w:tcW w:w="2940" w:type="dxa"/>
          </w:tcPr>
          <w:p w14:paraId="41A6BFE7" w14:textId="77777777" w:rsidR="005864AA" w:rsidRDefault="005864AA" w:rsidP="005864AA">
            <w:pPr>
              <w:ind w:right="-993"/>
              <w:rPr>
                <w:rFonts w:cs="Calibri"/>
                <w:b/>
                <w:sz w:val="16"/>
                <w:szCs w:val="16"/>
                <w:lang w:val="en-GB"/>
              </w:rPr>
            </w:pPr>
          </w:p>
        </w:tc>
        <w:tc>
          <w:tcPr>
            <w:tcW w:w="2976" w:type="dxa"/>
          </w:tcPr>
          <w:p w14:paraId="351CDC68"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F40534E"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51C8A2C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8B8E78B" w14:textId="77777777" w:rsidTr="005864AA">
        <w:trPr>
          <w:trHeight w:hRule="exact" w:val="385"/>
        </w:trPr>
        <w:tc>
          <w:tcPr>
            <w:tcW w:w="1022" w:type="dxa"/>
            <w:vMerge/>
            <w:shd w:val="clear" w:color="auto" w:fill="D5DCE4" w:themeFill="text2" w:themeFillTint="33"/>
          </w:tcPr>
          <w:p w14:paraId="13F97734" w14:textId="77777777" w:rsidR="005864AA" w:rsidRDefault="005864AA" w:rsidP="005864AA">
            <w:pPr>
              <w:ind w:right="-993"/>
              <w:rPr>
                <w:rFonts w:cs="Calibri"/>
                <w:b/>
                <w:sz w:val="16"/>
                <w:szCs w:val="16"/>
                <w:lang w:val="en-GB"/>
              </w:rPr>
            </w:pPr>
          </w:p>
        </w:tc>
        <w:tc>
          <w:tcPr>
            <w:tcW w:w="1318" w:type="dxa"/>
          </w:tcPr>
          <w:p w14:paraId="645EB28C" w14:textId="77777777" w:rsidR="005864AA" w:rsidRDefault="005864AA" w:rsidP="005864AA">
            <w:pPr>
              <w:ind w:right="-993"/>
              <w:rPr>
                <w:rFonts w:cs="Calibri"/>
                <w:b/>
                <w:sz w:val="16"/>
                <w:szCs w:val="16"/>
                <w:lang w:val="en-GB"/>
              </w:rPr>
            </w:pPr>
          </w:p>
        </w:tc>
        <w:tc>
          <w:tcPr>
            <w:tcW w:w="2940" w:type="dxa"/>
          </w:tcPr>
          <w:p w14:paraId="1FF48897" w14:textId="77777777" w:rsidR="005864AA" w:rsidRDefault="005864AA" w:rsidP="005864AA">
            <w:pPr>
              <w:ind w:right="-993"/>
              <w:rPr>
                <w:rFonts w:cs="Calibri"/>
                <w:b/>
                <w:sz w:val="16"/>
                <w:szCs w:val="16"/>
                <w:lang w:val="en-GB"/>
              </w:rPr>
            </w:pPr>
          </w:p>
        </w:tc>
        <w:tc>
          <w:tcPr>
            <w:tcW w:w="2976" w:type="dxa"/>
          </w:tcPr>
          <w:p w14:paraId="0328D9A2"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131C7FC"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7DD1E7DC"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8A4CD9A" w14:textId="77777777" w:rsidTr="005864AA">
        <w:trPr>
          <w:trHeight w:hRule="exact" w:val="385"/>
        </w:trPr>
        <w:tc>
          <w:tcPr>
            <w:tcW w:w="1022" w:type="dxa"/>
            <w:vMerge/>
            <w:shd w:val="clear" w:color="auto" w:fill="D5DCE4" w:themeFill="text2" w:themeFillTint="33"/>
          </w:tcPr>
          <w:p w14:paraId="6897ACD0" w14:textId="77777777" w:rsidR="005864AA" w:rsidRDefault="005864AA" w:rsidP="005864AA">
            <w:pPr>
              <w:ind w:right="-993"/>
              <w:rPr>
                <w:rFonts w:cs="Calibri"/>
                <w:b/>
                <w:sz w:val="16"/>
                <w:szCs w:val="16"/>
                <w:lang w:val="en-GB"/>
              </w:rPr>
            </w:pPr>
          </w:p>
        </w:tc>
        <w:tc>
          <w:tcPr>
            <w:tcW w:w="1318" w:type="dxa"/>
          </w:tcPr>
          <w:p w14:paraId="1DCDA85E" w14:textId="77777777" w:rsidR="005864AA" w:rsidRDefault="005864AA" w:rsidP="005864AA">
            <w:pPr>
              <w:ind w:right="-993"/>
              <w:rPr>
                <w:rFonts w:cs="Calibri"/>
                <w:b/>
                <w:sz w:val="16"/>
                <w:szCs w:val="16"/>
                <w:lang w:val="en-GB"/>
              </w:rPr>
            </w:pPr>
          </w:p>
        </w:tc>
        <w:tc>
          <w:tcPr>
            <w:tcW w:w="2940" w:type="dxa"/>
          </w:tcPr>
          <w:p w14:paraId="75C0DAD6" w14:textId="77777777" w:rsidR="005864AA" w:rsidRDefault="005864AA" w:rsidP="005864AA">
            <w:pPr>
              <w:ind w:right="-993"/>
              <w:rPr>
                <w:rFonts w:cs="Calibri"/>
                <w:b/>
                <w:sz w:val="16"/>
                <w:szCs w:val="16"/>
                <w:lang w:val="en-GB"/>
              </w:rPr>
            </w:pPr>
          </w:p>
        </w:tc>
        <w:tc>
          <w:tcPr>
            <w:tcW w:w="2976" w:type="dxa"/>
          </w:tcPr>
          <w:p w14:paraId="029848E5"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7312421"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2343BC8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56970004" w14:textId="77777777" w:rsidTr="005864AA">
        <w:trPr>
          <w:trHeight w:hRule="exact" w:val="385"/>
        </w:trPr>
        <w:tc>
          <w:tcPr>
            <w:tcW w:w="1022" w:type="dxa"/>
            <w:vMerge/>
            <w:shd w:val="clear" w:color="auto" w:fill="D5DCE4" w:themeFill="text2" w:themeFillTint="33"/>
          </w:tcPr>
          <w:p w14:paraId="6570741F" w14:textId="77777777" w:rsidR="005864AA" w:rsidRDefault="005864AA" w:rsidP="005864AA">
            <w:pPr>
              <w:ind w:right="-993"/>
              <w:rPr>
                <w:rFonts w:cs="Calibri"/>
                <w:b/>
                <w:sz w:val="16"/>
                <w:szCs w:val="16"/>
                <w:lang w:val="en-GB"/>
              </w:rPr>
            </w:pPr>
          </w:p>
        </w:tc>
        <w:tc>
          <w:tcPr>
            <w:tcW w:w="1318" w:type="dxa"/>
          </w:tcPr>
          <w:p w14:paraId="2623A7C0" w14:textId="77777777" w:rsidR="005864AA" w:rsidRDefault="005864AA" w:rsidP="005864AA">
            <w:pPr>
              <w:ind w:right="-993"/>
              <w:rPr>
                <w:rFonts w:cs="Calibri"/>
                <w:b/>
                <w:sz w:val="16"/>
                <w:szCs w:val="16"/>
                <w:lang w:val="en-GB"/>
              </w:rPr>
            </w:pPr>
          </w:p>
        </w:tc>
        <w:tc>
          <w:tcPr>
            <w:tcW w:w="2940" w:type="dxa"/>
          </w:tcPr>
          <w:p w14:paraId="40E72619" w14:textId="77777777" w:rsidR="005864AA" w:rsidRDefault="005864AA" w:rsidP="005864AA">
            <w:pPr>
              <w:ind w:right="-993"/>
              <w:rPr>
                <w:rFonts w:cs="Calibri"/>
                <w:b/>
                <w:sz w:val="16"/>
                <w:szCs w:val="16"/>
                <w:lang w:val="en-GB"/>
              </w:rPr>
            </w:pPr>
          </w:p>
        </w:tc>
        <w:tc>
          <w:tcPr>
            <w:tcW w:w="2976" w:type="dxa"/>
          </w:tcPr>
          <w:p w14:paraId="7EAD7381"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F3527AE" w14:textId="77777777" w:rsidR="005864AA" w:rsidRDefault="005864AA" w:rsidP="005864AA">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81" w:type="dxa"/>
            <w:vAlign w:val="bottom"/>
          </w:tcPr>
          <w:p w14:paraId="154015F4" w14:textId="77777777" w:rsidR="005864AA" w:rsidRDefault="005864AA" w:rsidP="005864AA">
            <w:pPr>
              <w:jc w:val="center"/>
              <w:rPr>
                <w:rFonts w:ascii="Calibri" w:eastAsia="Times New Roman" w:hAnsi="Calibri" w:cs="Times New Roman"/>
                <w:i/>
                <w:iCs/>
                <w:color w:val="000000"/>
                <w:sz w:val="16"/>
                <w:szCs w:val="16"/>
                <w:lang w:val="en-GB" w:eastAsia="en-GB"/>
              </w:rPr>
            </w:pPr>
          </w:p>
        </w:tc>
      </w:tr>
    </w:tbl>
    <w:p w14:paraId="700DC888" w14:textId="6596162D" w:rsidR="005864AA" w:rsidRDefault="00E7669F" w:rsidP="005864A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p w14:paraId="6188FB94" w14:textId="1BBE569F"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 xml:space="preserve">Any Mobility </w:t>
      </w:r>
      <w:proofErr w:type="gramStart"/>
      <w:r>
        <w:rPr>
          <w:rFonts w:ascii="Verdana" w:eastAsia="Times New Roman" w:hAnsi="Verdana" w:cs="Arial"/>
          <w:b/>
          <w:i/>
          <w:color w:val="002060"/>
          <w:sz w:val="24"/>
          <w:szCs w:val="36"/>
          <w:lang w:val="en-GB"/>
        </w:rPr>
        <w:t>type</w:t>
      </w:r>
      <w:proofErr w:type="gramEnd"/>
    </w:p>
    <w:tbl>
      <w:tblPr>
        <w:tblpPr w:leftFromText="180" w:rightFromText="180" w:vertAnchor="page" w:horzAnchor="margin" w:tblpY="6106"/>
        <w:tblW w:w="10891" w:type="dxa"/>
        <w:tblLayout w:type="fixed"/>
        <w:tblLook w:val="04A0" w:firstRow="1" w:lastRow="0" w:firstColumn="1" w:lastColumn="0" w:noHBand="0" w:noVBand="1"/>
      </w:tblPr>
      <w:tblGrid>
        <w:gridCol w:w="2612"/>
        <w:gridCol w:w="2032"/>
        <w:gridCol w:w="2036"/>
        <w:gridCol w:w="1629"/>
        <w:gridCol w:w="1086"/>
        <w:gridCol w:w="1496"/>
      </w:tblGrid>
      <w:tr w:rsidR="005864AA" w:rsidRPr="00A049C0" w14:paraId="61AA4016" w14:textId="77777777" w:rsidTr="005864AA">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1CF1D77" w14:textId="77777777" w:rsidR="005864AA" w:rsidRPr="002A00C3" w:rsidRDefault="005864AA" w:rsidP="005864AA">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864AA" w:rsidRPr="002A00C3" w14:paraId="320DEBDC" w14:textId="77777777" w:rsidTr="005864AA">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B696E5F"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6BC1F4E"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A09E9A6"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95557F3"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A1BEC87"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C4DDC6B"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5864AA" w:rsidRPr="002A00C3" w14:paraId="7B92843D" w14:textId="77777777" w:rsidTr="005864AA">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1E1B7B"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D111F3E" w14:textId="77777777" w:rsidR="005864AA" w:rsidRPr="00784E7F" w:rsidRDefault="005864AA" w:rsidP="005864AA">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4E8540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p w14:paraId="5FEC8DD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109A61B"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36141A"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47AE0F6C"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r w:rsidR="00C51A46" w:rsidRPr="00A049C0" w14:paraId="03D11B7E" w14:textId="77777777" w:rsidTr="005864A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EE8087A" w14:textId="2A447A6C" w:rsidR="00C51A46" w:rsidRPr="002A00C3" w:rsidRDefault="00C51A46" w:rsidP="00C51A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69A14F2" w14:textId="77777777" w:rsidR="00C51A46" w:rsidRPr="002A00C3" w:rsidRDefault="00C51A46" w:rsidP="00C51A4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2285F2" w14:textId="77777777" w:rsidR="00C51A46" w:rsidRPr="002A00C3" w:rsidRDefault="00C51A46" w:rsidP="00C51A4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7795C53" w14:textId="20193CBB" w:rsidR="00C51A46" w:rsidRPr="002A00C3" w:rsidRDefault="00C51A46" w:rsidP="00C51A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D79399" w14:textId="77777777" w:rsidR="00C51A46" w:rsidRPr="002A00C3" w:rsidRDefault="00C51A46" w:rsidP="00C51A46">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4A463E4E" w14:textId="77777777" w:rsidR="00C51A46" w:rsidRPr="002A00C3" w:rsidRDefault="00C51A46" w:rsidP="00C51A46">
            <w:pPr>
              <w:spacing w:after="0" w:line="240" w:lineRule="auto"/>
              <w:jc w:val="center"/>
              <w:rPr>
                <w:rFonts w:ascii="Calibri" w:eastAsia="Times New Roman" w:hAnsi="Calibri" w:cs="Times New Roman"/>
                <w:b/>
                <w:bCs/>
                <w:color w:val="000000"/>
                <w:sz w:val="16"/>
                <w:szCs w:val="16"/>
                <w:lang w:val="en-GB" w:eastAsia="en-GB"/>
              </w:rPr>
            </w:pPr>
          </w:p>
        </w:tc>
      </w:tr>
      <w:tr w:rsidR="00C51A46" w:rsidRPr="00A049C0" w14:paraId="2364F8C1" w14:textId="77777777" w:rsidTr="005864A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77490C87" w14:textId="033B8DF5" w:rsidR="00C51A46" w:rsidRPr="002A00C3" w:rsidRDefault="00C51A46" w:rsidP="00C51A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Institutional coordinator at the Sending Institution </w:t>
            </w:r>
          </w:p>
        </w:tc>
        <w:tc>
          <w:tcPr>
            <w:tcW w:w="2032" w:type="dxa"/>
            <w:tcBorders>
              <w:top w:val="nil"/>
              <w:left w:val="nil"/>
              <w:bottom w:val="single" w:sz="8" w:space="0" w:color="auto"/>
              <w:right w:val="single" w:sz="8" w:space="0" w:color="auto"/>
            </w:tcBorders>
            <w:shd w:val="clear" w:color="auto" w:fill="auto"/>
            <w:noWrap/>
            <w:vAlign w:val="center"/>
          </w:tcPr>
          <w:p w14:paraId="48729333" w14:textId="1EC19013" w:rsidR="00C51A46" w:rsidRPr="002A00C3" w:rsidRDefault="00C51A46" w:rsidP="00C51A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Carmen Buran</w:t>
            </w:r>
          </w:p>
        </w:tc>
        <w:tc>
          <w:tcPr>
            <w:tcW w:w="2036" w:type="dxa"/>
            <w:tcBorders>
              <w:top w:val="nil"/>
              <w:left w:val="single" w:sz="8" w:space="0" w:color="auto"/>
              <w:bottom w:val="single" w:sz="8" w:space="0" w:color="auto"/>
              <w:right w:val="nil"/>
            </w:tcBorders>
            <w:shd w:val="clear" w:color="auto" w:fill="auto"/>
            <w:noWrap/>
            <w:vAlign w:val="center"/>
          </w:tcPr>
          <w:p w14:paraId="6E85E49D" w14:textId="02C0F8DB" w:rsidR="00C51A46" w:rsidRPr="002A00C3" w:rsidRDefault="00C51A46" w:rsidP="00C51A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cburan@uoradea.ro</w:t>
            </w:r>
          </w:p>
        </w:tc>
        <w:tc>
          <w:tcPr>
            <w:tcW w:w="1629" w:type="dxa"/>
            <w:tcBorders>
              <w:top w:val="nil"/>
              <w:left w:val="single" w:sz="8" w:space="0" w:color="auto"/>
              <w:bottom w:val="single" w:sz="8" w:space="0" w:color="auto"/>
              <w:right w:val="nil"/>
            </w:tcBorders>
            <w:shd w:val="clear" w:color="auto" w:fill="auto"/>
            <w:noWrap/>
            <w:vAlign w:val="center"/>
          </w:tcPr>
          <w:p w14:paraId="21A05A1E" w14:textId="4017ACC5" w:rsidR="00C51A46" w:rsidRPr="002A00C3" w:rsidRDefault="00C51A46" w:rsidP="00C51A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1FADE6C6" w14:textId="77777777" w:rsidR="00C51A46" w:rsidRPr="002A00C3" w:rsidRDefault="00C51A46" w:rsidP="00C51A46">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6D7B0468" w14:textId="77777777" w:rsidR="00C51A46" w:rsidRPr="002A00C3" w:rsidRDefault="00C51A46" w:rsidP="00C51A46">
            <w:pPr>
              <w:spacing w:after="0" w:line="240" w:lineRule="auto"/>
              <w:jc w:val="center"/>
              <w:rPr>
                <w:rFonts w:ascii="Calibri" w:eastAsia="Times New Roman" w:hAnsi="Calibri" w:cs="Times New Roman"/>
                <w:b/>
                <w:bCs/>
                <w:color w:val="000000"/>
                <w:sz w:val="16"/>
                <w:szCs w:val="16"/>
                <w:lang w:val="en-GB" w:eastAsia="en-GB"/>
              </w:rPr>
            </w:pPr>
          </w:p>
        </w:tc>
      </w:tr>
      <w:tr w:rsidR="005864AA" w:rsidRPr="00A049C0" w14:paraId="3FD3637C" w14:textId="77777777" w:rsidTr="005864AA">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8186C7F"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2C06EEB3"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100031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883A728"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B0718A" w14:textId="77777777" w:rsidR="005864AA" w:rsidRPr="002A00C3" w:rsidRDefault="005864AA" w:rsidP="005864AA">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450083F7"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bl>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063" w:type="dxa"/>
        <w:tblInd w:w="-176" w:type="dxa"/>
        <w:tblLayout w:type="fixed"/>
        <w:tblLook w:val="04A0" w:firstRow="1" w:lastRow="0" w:firstColumn="1" w:lastColumn="0" w:noHBand="0" w:noVBand="1"/>
      </w:tblPr>
      <w:tblGrid>
        <w:gridCol w:w="1496"/>
        <w:gridCol w:w="1071"/>
        <w:gridCol w:w="2880"/>
        <w:gridCol w:w="1344"/>
        <w:gridCol w:w="1344"/>
        <w:gridCol w:w="1680"/>
        <w:gridCol w:w="1248"/>
      </w:tblGrid>
      <w:tr w:rsidR="0089316A" w:rsidRPr="00A049C0" w14:paraId="7DD5F258" w14:textId="77777777" w:rsidTr="00A8548D">
        <w:trPr>
          <w:trHeight w:val="80"/>
        </w:trPr>
        <w:tc>
          <w:tcPr>
            <w:tcW w:w="1496"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567"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89316A" w:rsidRPr="002A00C3" w:rsidRDefault="0089316A"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w:t>
            </w:r>
            <w:proofErr w:type="gramStart"/>
            <w:r>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w:t>
            </w:r>
            <w:r w:rsidR="00882FED">
              <w:rPr>
                <w:rFonts w:ascii="Calibri" w:eastAsia="Times New Roman" w:hAnsi="Calibri" w:cs="Times New Roman"/>
                <w:color w:val="000000"/>
                <w:sz w:val="14"/>
                <w:szCs w:val="16"/>
                <w:lang w:val="en-GB" w:eastAsia="en-GB"/>
              </w:rPr>
              <w:t>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A8548D">
        <w:trPr>
          <w:trHeight w:val="690"/>
        </w:trPr>
        <w:tc>
          <w:tcPr>
            <w:tcW w:w="1496"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8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4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89316A" w:rsidRPr="002A00C3" w14:paraId="1782FA9B" w14:textId="77777777" w:rsidTr="00A8548D">
        <w:trPr>
          <w:trHeight w:val="110"/>
        </w:trPr>
        <w:tc>
          <w:tcPr>
            <w:tcW w:w="1496"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nil"/>
              <w:left w:val="nil"/>
              <w:bottom w:val="nil"/>
              <w:right w:val="single" w:sz="8" w:space="0" w:color="auto"/>
            </w:tcBorders>
            <w:shd w:val="clear" w:color="auto" w:fill="auto"/>
            <w:vAlign w:val="center"/>
            <w:hideMark/>
          </w:tcPr>
          <w:p w14:paraId="0D1C84E6" w14:textId="533F48C8" w:rsidR="0089316A" w:rsidRPr="002A00C3" w:rsidRDefault="00F5038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44" w:type="dxa"/>
            <w:tcBorders>
              <w:top w:val="nil"/>
              <w:left w:val="nil"/>
              <w:bottom w:val="nil"/>
              <w:right w:val="single" w:sz="8" w:space="0" w:color="auto"/>
            </w:tcBorders>
            <w:shd w:val="clear" w:color="auto" w:fill="auto"/>
            <w:vAlign w:val="center"/>
            <w:hideMark/>
          </w:tcPr>
          <w:p w14:paraId="412DD878" w14:textId="77777777" w:rsidR="0089316A" w:rsidRPr="002A00C3" w:rsidRDefault="00F5038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680"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44"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A8548D">
        <w:trPr>
          <w:trHeight w:val="184"/>
        </w:trPr>
        <w:tc>
          <w:tcPr>
            <w:tcW w:w="1496"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F5038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F5038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680"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44"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7BEB78C4" w:rsidR="00684FA3" w:rsidRPr="002A00C3" w:rsidRDefault="00684FA3"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F5038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F5038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F5038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F5038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1384E9EC" w:rsidR="00AD60CE" w:rsidRDefault="00AD60CE" w:rsidP="00134D6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w:t>
            </w:r>
            <w:proofErr w:type="gramStart"/>
            <w:r w:rsidRPr="006B2CC6">
              <w:rPr>
                <w:rFonts w:cs="Calibri"/>
                <w:b/>
                <w:sz w:val="16"/>
                <w:szCs w:val="16"/>
                <w:lang w:val="en-GB"/>
              </w:rPr>
              <w:t>obligatory</w:t>
            </w:r>
            <w:proofErr w:type="gramEnd"/>
            <w:r w:rsidRPr="006B2CC6">
              <w:rPr>
                <w:rFonts w:cs="Calibri"/>
                <w:b/>
                <w:sz w:val="16"/>
                <w:szCs w:val="16"/>
                <w:lang w:val="en-GB"/>
              </w:rPr>
              <w:t xml:space="preserve">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ListParagraph"/>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0962495C" w:rsidR="00EA0171" w:rsidRPr="00EA0171" w:rsidRDefault="00EA0171" w:rsidP="00EA0171">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w:t>
            </w:r>
            <w:proofErr w:type="gramStart"/>
            <w:r w:rsidRPr="00544433">
              <w:rPr>
                <w:rFonts w:asciiTheme="minorHAnsi" w:hAnsiTheme="minorHAnsi" w:cstheme="minorHAnsi"/>
                <w:lang w:val="en-GB"/>
              </w:rPr>
              <w:t>in particular for</w:t>
            </w:r>
            <w:proofErr w:type="gramEnd"/>
            <w:r w:rsidRPr="00544433">
              <w:rPr>
                <w:rFonts w:asciiTheme="minorHAnsi" w:hAnsiTheme="minorHAnsi" w:cstheme="minorHAnsi"/>
                <w:lang w:val="en-GB"/>
              </w:rPr>
              <w:t xml:space="preserve">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 xml:space="preserve">etailed, </w:t>
            </w:r>
            <w:proofErr w:type="gramStart"/>
            <w:r w:rsidRPr="00544433">
              <w:rPr>
                <w:rFonts w:asciiTheme="minorHAnsi" w:hAnsiTheme="minorHAnsi" w:cstheme="minorHAnsi"/>
                <w:lang w:val="en-GB"/>
              </w:rPr>
              <w:t>user-friendly</w:t>
            </w:r>
            <w:proofErr w:type="gramEnd"/>
            <w:r w:rsidRPr="00544433">
              <w:rPr>
                <w:rFonts w:asciiTheme="minorHAnsi" w:hAnsiTheme="minorHAnsi" w:cstheme="minorHAnsi"/>
                <w:lang w:val="en-GB"/>
              </w:rPr>
              <w:t xml:space="preserve">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 xml:space="preserve">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w:t>
            </w:r>
            <w:proofErr w:type="gramStart"/>
            <w:r w:rsidRPr="00544433">
              <w:rPr>
                <w:rFonts w:asciiTheme="minorHAnsi" w:hAnsiTheme="minorHAnsi" w:cstheme="minorHAnsi"/>
                <w:lang w:val="en-GB"/>
              </w:rPr>
              <w:t>components</w:t>
            </w:r>
            <w:proofErr w:type="gramEnd"/>
            <w:r w:rsidRPr="00544433">
              <w:rPr>
                <w:rFonts w:asciiTheme="minorHAnsi" w:hAnsiTheme="minorHAnsi" w:cstheme="minorHAnsi"/>
                <w:lang w:val="en-GB"/>
              </w:rPr>
              <w:t xml:space="preserve"> and the learning resources. The Course Catalogue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FE974" w14:textId="77777777" w:rsidR="00F50382" w:rsidRDefault="00F50382" w:rsidP="005F66E7">
      <w:pPr>
        <w:spacing w:after="0" w:line="240" w:lineRule="auto"/>
      </w:pPr>
      <w:r>
        <w:separator/>
      </w:r>
    </w:p>
  </w:endnote>
  <w:endnote w:type="continuationSeparator" w:id="0">
    <w:p w14:paraId="7933F945" w14:textId="77777777" w:rsidR="00F50382" w:rsidRDefault="00F50382" w:rsidP="005F66E7">
      <w:pPr>
        <w:spacing w:after="0" w:line="240" w:lineRule="auto"/>
      </w:pPr>
      <w:r>
        <w:continuationSeparator/>
      </w:r>
    </w:p>
  </w:endnote>
  <w:endnote w:type="continuationNotice" w:id="1">
    <w:p w14:paraId="3A66F612" w14:textId="77777777" w:rsidR="00F50382" w:rsidRDefault="00F503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B1522" w14:textId="77777777" w:rsidR="00F50382" w:rsidRDefault="00F50382" w:rsidP="005F66E7">
      <w:pPr>
        <w:spacing w:after="0" w:line="240" w:lineRule="auto"/>
      </w:pPr>
      <w:r>
        <w:separator/>
      </w:r>
    </w:p>
  </w:footnote>
  <w:footnote w:type="continuationSeparator" w:id="0">
    <w:p w14:paraId="1E4A42C4" w14:textId="77777777" w:rsidR="00F50382" w:rsidRDefault="00F50382" w:rsidP="005F66E7">
      <w:pPr>
        <w:spacing w:after="0" w:line="240" w:lineRule="auto"/>
      </w:pPr>
      <w:r>
        <w:continuationSeparator/>
      </w:r>
    </w:p>
  </w:footnote>
  <w:footnote w:type="continuationNotice" w:id="1">
    <w:p w14:paraId="1498990E" w14:textId="77777777" w:rsidR="00F50382" w:rsidRDefault="00F503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7611586">
    <w:abstractNumId w:val="0"/>
  </w:num>
  <w:num w:numId="2" w16cid:durableId="2098625732">
    <w:abstractNumId w:val="1"/>
  </w:num>
  <w:num w:numId="3" w16cid:durableId="1855918230">
    <w:abstractNumId w:val="2"/>
  </w:num>
  <w:num w:numId="4" w16cid:durableId="749084863">
    <w:abstractNumId w:val="3"/>
  </w:num>
  <w:num w:numId="5" w16cid:durableId="120661462">
    <w:abstractNumId w:val="5"/>
  </w:num>
  <w:num w:numId="6" w16cid:durableId="1367830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851F9"/>
    <w:rsid w:val="00094C8A"/>
    <w:rsid w:val="000C3BE0"/>
    <w:rsid w:val="000C610D"/>
    <w:rsid w:val="000D7748"/>
    <w:rsid w:val="00134D69"/>
    <w:rsid w:val="001424A8"/>
    <w:rsid w:val="00174F66"/>
    <w:rsid w:val="00181968"/>
    <w:rsid w:val="0019347D"/>
    <w:rsid w:val="001A5F47"/>
    <w:rsid w:val="001C792B"/>
    <w:rsid w:val="001D107C"/>
    <w:rsid w:val="00236998"/>
    <w:rsid w:val="00244302"/>
    <w:rsid w:val="002C5273"/>
    <w:rsid w:val="002E1905"/>
    <w:rsid w:val="00314133"/>
    <w:rsid w:val="0035116B"/>
    <w:rsid w:val="003A52FF"/>
    <w:rsid w:val="003D48C6"/>
    <w:rsid w:val="003E0C23"/>
    <w:rsid w:val="003F60C8"/>
    <w:rsid w:val="00413573"/>
    <w:rsid w:val="00502EF9"/>
    <w:rsid w:val="00532743"/>
    <w:rsid w:val="00555F03"/>
    <w:rsid w:val="005864AA"/>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B2E71"/>
    <w:rsid w:val="008D1623"/>
    <w:rsid w:val="008D38C7"/>
    <w:rsid w:val="00910DA9"/>
    <w:rsid w:val="00950658"/>
    <w:rsid w:val="00973376"/>
    <w:rsid w:val="009A1854"/>
    <w:rsid w:val="009A6862"/>
    <w:rsid w:val="009B1607"/>
    <w:rsid w:val="009B606A"/>
    <w:rsid w:val="00A00F20"/>
    <w:rsid w:val="00A2227D"/>
    <w:rsid w:val="00A460C8"/>
    <w:rsid w:val="00A46919"/>
    <w:rsid w:val="00A8548D"/>
    <w:rsid w:val="00A92524"/>
    <w:rsid w:val="00AB6B93"/>
    <w:rsid w:val="00AD60CE"/>
    <w:rsid w:val="00B124E2"/>
    <w:rsid w:val="00B41409"/>
    <w:rsid w:val="00B77E44"/>
    <w:rsid w:val="00B81B82"/>
    <w:rsid w:val="00B8536F"/>
    <w:rsid w:val="00BA1E54"/>
    <w:rsid w:val="00BD28B3"/>
    <w:rsid w:val="00C26C44"/>
    <w:rsid w:val="00C31445"/>
    <w:rsid w:val="00C32A4D"/>
    <w:rsid w:val="00C51A46"/>
    <w:rsid w:val="00CB707C"/>
    <w:rsid w:val="00DD2CC6"/>
    <w:rsid w:val="00E176C0"/>
    <w:rsid w:val="00E4761F"/>
    <w:rsid w:val="00E750BE"/>
    <w:rsid w:val="00E7669F"/>
    <w:rsid w:val="00E7785D"/>
    <w:rsid w:val="00EA0171"/>
    <w:rsid w:val="00EF69DC"/>
    <w:rsid w:val="00F054A1"/>
    <w:rsid w:val="00F21D59"/>
    <w:rsid w:val="00F50382"/>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B2A78-C239-404C-AB78-9FBEFAB7E0D4}">
  <ds:schemaRefs>
    <ds:schemaRef ds:uri="http://schemas.openxmlformats.org/officeDocument/2006/bibliography"/>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1948</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13225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Carmen Buran</cp:lastModifiedBy>
  <cp:revision>3</cp:revision>
  <cp:lastPrinted>2021-02-09T14:36:00Z</cp:lastPrinted>
  <dcterms:created xsi:type="dcterms:W3CDTF">2021-10-21T14:48:00Z</dcterms:created>
  <dcterms:modified xsi:type="dcterms:W3CDTF">2022-05-11T13:08:00Z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